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4BFB" w:rsidRPr="00B94BFB" w:rsidRDefault="00B94BFB" w:rsidP="00B94BFB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B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Утверждено</w:t>
      </w:r>
    </w:p>
    <w:p w:rsidR="00B94BFB" w:rsidRPr="00B94BFB" w:rsidRDefault="00B94BFB" w:rsidP="00B94BFB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B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решением Общего собрания членов </w:t>
      </w:r>
    </w:p>
    <w:p w:rsidR="00B94BFB" w:rsidRPr="00B94BFB" w:rsidRDefault="00B94BFB" w:rsidP="00B94BFB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B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Ассоциации «Генеральных подрядчиков в строительстве»</w:t>
      </w:r>
    </w:p>
    <w:p w:rsidR="00B94BFB" w:rsidRPr="00B94BFB" w:rsidRDefault="00B94BFB" w:rsidP="00B94BFB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B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(протокол № 2 от 01.04.2025)</w:t>
      </w: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bookmarkStart w:id="0" w:name="_GoBack"/>
      <w:bookmarkEnd w:id="0"/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</w:t>
      </w:r>
      <w:r w:rsidR="00B94BFB" w:rsidRPr="00B94BFB">
        <w:rPr>
          <w:rFonts w:ascii="Times New Roman" w:hAnsi="Times New Roman"/>
          <w:sz w:val="32"/>
          <w:szCs w:val="32"/>
        </w:rPr>
        <w:t>«Генеральных подрядчиков в строительстве»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Pr="00B94BFB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FB" w:rsidRPr="00B94BFB" w:rsidRDefault="00B94BFB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FB" w:rsidRPr="00B94BFB" w:rsidRDefault="00B94BFB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FB" w:rsidRPr="00B94BFB" w:rsidRDefault="00B94BFB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FB" w:rsidRPr="00B94BFB" w:rsidRDefault="00B94BFB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FB" w:rsidRPr="00B94BFB" w:rsidRDefault="00B94BFB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4D4396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202</w:t>
      </w:r>
      <w:r w:rsidR="00B94BFB" w:rsidRPr="00B45E21">
        <w:rPr>
          <w:rFonts w:ascii="Times New Roman" w:hAnsi="Times New Roman" w:cs="Times New Roman"/>
          <w:sz w:val="28"/>
          <w:szCs w:val="28"/>
        </w:rPr>
        <w:t>5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12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3751F">
        <w:rPr>
          <w:noProof/>
          <w:sz w:val="32"/>
          <w:szCs w:val="32"/>
        </w:rPr>
        <w:t>14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1"/>
    </w:p>
    <w:p w:rsidR="00C13212" w:rsidRDefault="0033673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94BFB" w:rsidRPr="00B94BFB">
        <w:rPr>
          <w:rFonts w:ascii="Times New Roman" w:eastAsia="Times New Roman" w:hAnsi="Times New Roman" w:cs="Times New Roman"/>
          <w:sz w:val="28"/>
          <w:szCs w:val="28"/>
        </w:rPr>
        <w:t>«Генеральных подрядчиков в строительстве»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37280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2"/>
    </w:p>
    <w:p w:rsidR="00C13212" w:rsidRDefault="00336735" w:rsidP="00372806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 за эксплуатацию здания, сооружения, региональным оператором;</w:t>
      </w:r>
      <w:proofErr w:type="gramEnd"/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 к этой информации и установило в отношении ее соответствующий режим;</w:t>
      </w:r>
    </w:p>
    <w:p w:rsidR="00C13212" w:rsidRDefault="004E3841" w:rsidP="00372806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4E3841" w:rsidP="00372806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C13212" w:rsidRPr="00F667C0" w:rsidRDefault="004E3841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3"/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3728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37280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37280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Toc508811103"/>
    </w:p>
    <w:p w:rsidR="00C13212" w:rsidRPr="00F667C0" w:rsidRDefault="004E3841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</w:p>
    <w:p w:rsidR="00F253AD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372806">
      <w:pPr>
        <w:pStyle w:val="af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372806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финансово-экономическом положении члена Ассоциации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372806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строительных машин, транспортных средств</w:t>
      </w:r>
    </w:p>
    <w:p w:rsidR="00524BC0" w:rsidRPr="00524BC0" w:rsidRDefault="00524BC0" w:rsidP="00372806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372806">
      <w:pPr>
        <w:jc w:val="both"/>
      </w:pPr>
    </w:p>
    <w:p w:rsidR="00603A37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исполнен</w:t>
      </w:r>
      <w:r w:rsidR="009F389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372806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372806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целях обобщения сведений и формулировки выводов и рекомендаций используется сравнительный метод анализа на основе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сведений прошлых лет и сопоставления с фактически полученными данными за отчетный период.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372806">
      <w:pPr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 w:rsidP="00372806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372806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37280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C13212" w:rsidRPr="00F667C0" w:rsidRDefault="00E94255" w:rsidP="0037280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634B68" w:rsidRDefault="00634B68" w:rsidP="0037280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Настоящее </w:t>
      </w:r>
      <w:r w:rsidR="00372806" w:rsidRPr="00372806">
        <w:rPr>
          <w:rFonts w:ascii="Times New Roman" w:eastAsia="Times New Roman" w:hAnsi="Times New Roman" w:cs="Times New Roman"/>
          <w:sz w:val="28"/>
          <w:szCs w:val="28"/>
        </w:rPr>
        <w:t>Положение вступает в силу не ранее даты получения Ассоциацией статуса саморегулируемой организации и внесения сведения о нем в государственный реестр саморегулируемых организаций.</w:t>
      </w:r>
    </w:p>
    <w:p w:rsidR="00634B68" w:rsidRDefault="00634B68" w:rsidP="0037280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8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37280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3728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</w:p>
    <w:p w:rsidR="001E070D" w:rsidRPr="004D4396" w:rsidRDefault="00B04F97" w:rsidP="00372806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91A43">
        <w:br w:type="page"/>
      </w:r>
      <w:bookmarkStart w:id="9" w:name="_Toc508811108"/>
      <w:r w:rsidR="004D4396" w:rsidRPr="004D439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к Положению о проведении </w:t>
      </w:r>
      <w:bookmarkEnd w:id="9"/>
      <w:r w:rsidR="004D4396" w:rsidRPr="004D4396">
        <w:rPr>
          <w:rFonts w:ascii="Times New Roman" w:hAnsi="Times New Roman" w:cs="Times New Roman"/>
          <w:color w:val="auto"/>
          <w:sz w:val="28"/>
          <w:szCs w:val="28"/>
        </w:rPr>
        <w:t>саморегулируемой организацией Ассоциацией «</w:t>
      </w:r>
      <w:r w:rsidR="0037280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D4396" w:rsidRPr="004D4396">
        <w:rPr>
          <w:rFonts w:ascii="Times New Roman" w:hAnsi="Times New Roman" w:cs="Times New Roman"/>
          <w:color w:val="auto"/>
          <w:sz w:val="28"/>
          <w:szCs w:val="28"/>
        </w:rPr>
        <w:t>енеральных подрядчиков в строительстве» анализа деятельности своих членов на основании информации, представляемой ими в форме отчетов</w:t>
      </w:r>
    </w:p>
    <w:p w:rsidR="00C13212" w:rsidRPr="004D4396" w:rsidRDefault="00336735" w:rsidP="00372806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D439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D4396" w:rsidRPr="004D4396" w:rsidRDefault="004D4396" w:rsidP="0037280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D43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Отчет о деятельности члена Ассоциации</w:t>
      </w:r>
    </w:p>
    <w:p w:rsidR="004D4396" w:rsidRPr="004D4396" w:rsidRDefault="004D4396" w:rsidP="00372806">
      <w:pPr>
        <w:jc w:val="center"/>
        <w:rPr>
          <w:b/>
          <w:bCs/>
          <w:color w:val="auto"/>
          <w:sz w:val="28"/>
          <w:szCs w:val="28"/>
        </w:rPr>
      </w:pPr>
      <w:r w:rsidRPr="004D43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_______ год</w:t>
      </w:r>
    </w:p>
    <w:p w:rsidR="004D4396" w:rsidRPr="004D4396" w:rsidRDefault="004D4396" w:rsidP="0037280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D4396" w:rsidRPr="004D4396" w:rsidRDefault="004D4396" w:rsidP="00372806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D4396" w:rsidRPr="004D4396" w:rsidRDefault="004D4396" w:rsidP="0037280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974"/>
        <w:gridCol w:w="1784"/>
        <w:gridCol w:w="1280"/>
        <w:gridCol w:w="2900"/>
      </w:tblGrid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сведений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</w:t>
            </w: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Общие сведения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 нахождения (Юридический адрес юридического лица)/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Фактический адрес,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представительства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электронной почты (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(с кодом города)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Должность,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rPr>
          <w:trHeight w:val="359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 </w:t>
            </w:r>
          </w:p>
          <w:p w:rsidR="004D4396" w:rsidRPr="004D4396" w:rsidRDefault="004D4396" w:rsidP="00372806">
            <w:pPr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руководителя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Сведения об основном и дополнительных видах деятельности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деятельности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4D4396" w:rsidRPr="004D4396" w:rsidRDefault="004D4396" w:rsidP="003728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:rsidR="004D4396" w:rsidRPr="004D4396" w:rsidRDefault="004D4396" w:rsidP="003728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генерального подрядчика</w:t>
            </w:r>
          </w:p>
          <w:p w:rsidR="004D4396" w:rsidRPr="004D4396" w:rsidRDefault="004D4396" w:rsidP="003728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4D4396" w:rsidRPr="004D4396" w:rsidRDefault="004D4396" w:rsidP="00372806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Организация, осуществляющая только снос объектов капитального строительства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каких объектов участвует организация: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4396" w:rsidRPr="004D4396" w:rsidRDefault="004D4396" w:rsidP="00372806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Жильё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многоквартирные дома (МКД)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индивидуальное жилищное строительство (ИЖС)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коммунального хозяйства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Социальные объекты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школы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детские сады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поликлиники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больницы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Гидротехнические сооружения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Объекты нефтяной и газовой промышленности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Промышленные объекты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 какие)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_________________</w:t>
            </w:r>
            <w:r w:rsidRPr="004D4396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   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Линейные объекты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автодороги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нефтепроводы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- газопроводы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электрические сети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сети связи</w:t>
            </w:r>
          </w:p>
          <w:p w:rsidR="004D4396" w:rsidRPr="004D4396" w:rsidRDefault="004D4396" w:rsidP="00372806">
            <w:pPr>
              <w:ind w:left="4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       другое указать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Коммерческая недвижимость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8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Деревянное домостроение </w:t>
            </w:r>
          </w:p>
          <w:p w:rsidR="004D4396" w:rsidRPr="004D4396" w:rsidRDefault="004D4396" w:rsidP="00372806">
            <w:pPr>
              <w:numPr>
                <w:ilvl w:val="0"/>
                <w:numId w:val="10"/>
              </w:numPr>
              <w:ind w:left="479" w:hanging="425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Иные объекты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(указать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какие)</w:t>
            </w: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собственного производства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4D4396" w:rsidRPr="004D4396" w:rsidRDefault="004D4396" w:rsidP="0037280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proofErr w:type="spellStart"/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домокомплектов</w:t>
            </w:r>
            <w:proofErr w:type="spellEnd"/>
          </w:p>
          <w:p w:rsidR="004D4396" w:rsidRPr="004D4396" w:rsidRDefault="004D4396" w:rsidP="0037280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стройматериалов</w:t>
            </w:r>
          </w:p>
          <w:p w:rsidR="004D4396" w:rsidRPr="004D4396" w:rsidRDefault="004D4396" w:rsidP="0037280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</w:t>
            </w:r>
          </w:p>
          <w:p w:rsidR="004D4396" w:rsidRPr="004D4396" w:rsidRDefault="004D4396" w:rsidP="00372806">
            <w:pPr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комплектующих</w:t>
            </w:r>
          </w:p>
          <w:p w:rsidR="004D4396" w:rsidRPr="004D4396" w:rsidRDefault="004D4396" w:rsidP="00372806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______________</w:t>
            </w:r>
          </w:p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  другое указать</w:t>
            </w:r>
          </w:p>
          <w:p w:rsidR="004D4396" w:rsidRPr="004D4396" w:rsidRDefault="004D4396" w:rsidP="0037280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собственной лаборатории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 по строительству в ином субъекте РФ, отличном от места регистрации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spacing w:before="60" w:after="60"/>
              <w:ind w:left="53" w:hanging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  <w:p w:rsidR="004D4396" w:rsidRPr="004D4396" w:rsidRDefault="004D4396" w:rsidP="00372806">
            <w:pPr>
              <w:ind w:left="53" w:hanging="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</w:t>
            </w:r>
          </w:p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 указать регион при наличии</w:t>
            </w:r>
          </w:p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конкурентных способах заключения договоров строительного подряда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да/нет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завершенных объектов по государственным заказам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 отчетный год)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 Сведения об охране труда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ответственного лица за охрану труда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Служба охраны труда </w:t>
            </w:r>
          </w:p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Штатный сотрудник   </w:t>
            </w:r>
          </w:p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Совместитель  </w:t>
            </w:r>
          </w:p>
          <w:p w:rsidR="004D4396" w:rsidRPr="004D4396" w:rsidRDefault="004D4396" w:rsidP="00372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- Организация или ИП, оказывающие услуги в области охраны труда по договору  </w:t>
            </w:r>
          </w:p>
          <w:p w:rsidR="004D4396" w:rsidRPr="004D4396" w:rsidRDefault="004D4396" w:rsidP="0037280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Отсутствует  </w:t>
            </w:r>
          </w:p>
        </w:tc>
      </w:tr>
      <w:tr w:rsidR="004D4396" w:rsidRPr="004D4396" w:rsidTr="004D439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Случаи нарушения 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охраны труда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(указать количество)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1) Несчастные случаи  </w:t>
            </w:r>
          </w:p>
          <w:p w:rsidR="004D4396" w:rsidRPr="004D4396" w:rsidRDefault="004D4396" w:rsidP="003728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2) Травматизм </w:t>
            </w:r>
          </w:p>
          <w:p w:rsidR="004D4396" w:rsidRPr="004D4396" w:rsidRDefault="004D4396" w:rsidP="00372806">
            <w:pPr>
              <w:spacing w:before="60" w:after="60"/>
              <w:ind w:left="479" w:hanging="28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4396" w:rsidRPr="004D4396" w:rsidTr="004D4396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4. Сведения о наличие лицензий</w:t>
            </w:r>
          </w:p>
        </w:tc>
      </w:tr>
      <w:tr w:rsidR="004D4396" w:rsidRPr="004D4396" w:rsidTr="004D439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лицензий в области</w:t>
            </w:r>
          </w:p>
          <w:p w:rsidR="004D4396" w:rsidRPr="004D4396" w:rsidRDefault="004D4396" w:rsidP="00372806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(отметить</w:t>
            </w:r>
            <w:r w:rsidRPr="004D4396">
              <w:rPr>
                <w:color w:val="auto"/>
              </w:rPr>
              <w:t xml:space="preserve"> </w:t>
            </w:r>
            <w:r w:rsidRPr="004D439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соответствующие)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объектов использования атомной энергии </w:t>
            </w:r>
          </w:p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эксплуатации опасных объектов</w:t>
            </w:r>
          </w:p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пожарной безопасности</w:t>
            </w:r>
          </w:p>
          <w:p w:rsidR="004D4396" w:rsidRPr="004D4396" w:rsidRDefault="004D4396" w:rsidP="00372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сохранения объектов культурного наследия </w:t>
            </w:r>
          </w:p>
          <w:p w:rsidR="004D4396" w:rsidRPr="004D4396" w:rsidRDefault="004D4396" w:rsidP="00372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4D43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управления многоквартирными домами (МКД) </w:t>
            </w:r>
          </w:p>
          <w:p w:rsidR="004D4396" w:rsidRPr="004D4396" w:rsidRDefault="004D4396" w:rsidP="00372806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_____________________</w:t>
            </w:r>
          </w:p>
          <w:p w:rsidR="004D4396" w:rsidRPr="004D4396" w:rsidRDefault="004D4396" w:rsidP="00372806">
            <w:pPr>
              <w:ind w:left="476"/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</w:pPr>
            <w:r w:rsidRPr="004D4396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 xml:space="preserve">       </w:t>
            </w:r>
            <w:r w:rsidRPr="004D4396">
              <w:rPr>
                <w:rFonts w:ascii="Times New Roman" w:hAnsi="Times New Roman" w:cs="Times New Roman"/>
                <w:i/>
                <w:color w:val="auto"/>
                <w:sz w:val="32"/>
                <w:szCs w:val="32"/>
                <w:vertAlign w:val="superscript"/>
              </w:rPr>
              <w:t xml:space="preserve">другие  указать </w:t>
            </w:r>
          </w:p>
        </w:tc>
      </w:tr>
    </w:tbl>
    <w:p w:rsidR="004D4396" w:rsidRPr="004D4396" w:rsidRDefault="004D4396" w:rsidP="003728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37280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           «__» ____________ 20__ г.</w:t>
      </w:r>
    </w:p>
    <w:p w:rsidR="004D4396" w:rsidRPr="004D4396" w:rsidRDefault="004D4396" w:rsidP="003728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4396" w:rsidRPr="004D4396" w:rsidRDefault="004D4396" w:rsidP="0037280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37280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4D4396" w:rsidRPr="004D4396" w:rsidRDefault="004D4396" w:rsidP="00372806">
      <w:pPr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4D4396" w:rsidRPr="004D4396" w:rsidRDefault="004D4396" w:rsidP="0037280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96">
        <w:rPr>
          <w:rFonts w:ascii="Times New Roman" w:hAnsi="Times New Roman" w:cs="Times New Roman"/>
          <w:color w:val="auto"/>
          <w:sz w:val="24"/>
          <w:szCs w:val="24"/>
        </w:rPr>
        <w:t>Телефон: ______________________</w:t>
      </w:r>
    </w:p>
    <w:p w:rsidR="004D4396" w:rsidRPr="004D4396" w:rsidRDefault="004D4396" w:rsidP="003728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4396" w:rsidRPr="004D4396" w:rsidRDefault="004D4396" w:rsidP="00372806">
      <w:pPr>
        <w:rPr>
          <w:color w:val="auto"/>
        </w:rPr>
      </w:pPr>
    </w:p>
    <w:p w:rsidR="00C13212" w:rsidRPr="004D4396" w:rsidRDefault="00C13212" w:rsidP="003728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13212" w:rsidRPr="004D4396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96" w:rsidRDefault="007E7796">
      <w:pPr>
        <w:spacing w:line="240" w:lineRule="auto"/>
      </w:pPr>
      <w:r>
        <w:separator/>
      </w:r>
    </w:p>
  </w:endnote>
  <w:endnote w:type="continuationSeparator" w:id="0">
    <w:p w:rsidR="007E7796" w:rsidRDefault="007E7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96" w:rsidRDefault="007E7796">
      <w:pPr>
        <w:spacing w:line="240" w:lineRule="auto"/>
      </w:pPr>
      <w:r>
        <w:separator/>
      </w:r>
    </w:p>
  </w:footnote>
  <w:footnote w:type="continuationSeparator" w:id="0">
    <w:p w:rsidR="007E7796" w:rsidRDefault="007E7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21" w:rsidRPr="00B45E2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2806"/>
    <w:rsid w:val="00373DA6"/>
    <w:rsid w:val="00395EDF"/>
    <w:rsid w:val="00397272"/>
    <w:rsid w:val="003A3ED5"/>
    <w:rsid w:val="003A67D0"/>
    <w:rsid w:val="003B4F97"/>
    <w:rsid w:val="003C3458"/>
    <w:rsid w:val="003F3145"/>
    <w:rsid w:val="003F6DA7"/>
    <w:rsid w:val="004024F5"/>
    <w:rsid w:val="004027A1"/>
    <w:rsid w:val="004028C6"/>
    <w:rsid w:val="004107E9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D4396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E7796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389C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3751F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45E21"/>
    <w:rsid w:val="00B50387"/>
    <w:rsid w:val="00B57D92"/>
    <w:rsid w:val="00B6488F"/>
    <w:rsid w:val="00B741D0"/>
    <w:rsid w:val="00B75D2C"/>
    <w:rsid w:val="00B8592A"/>
    <w:rsid w:val="00B87E8A"/>
    <w:rsid w:val="00B94BFB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3050E"/>
    <w:rsid w:val="00E40EE2"/>
    <w:rsid w:val="00E46B71"/>
    <w:rsid w:val="00E524CA"/>
    <w:rsid w:val="00E5670D"/>
    <w:rsid w:val="00E66AEF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A9F2F0-AE79-4CD8-A6A3-A124EB2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26521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Фанеев</cp:lastModifiedBy>
  <cp:revision>4</cp:revision>
  <cp:lastPrinted>2023-09-28T09:14:00Z</cp:lastPrinted>
  <dcterms:created xsi:type="dcterms:W3CDTF">2025-04-10T10:47:00Z</dcterms:created>
  <dcterms:modified xsi:type="dcterms:W3CDTF">2025-04-10T11:05:00Z</dcterms:modified>
</cp:coreProperties>
</file>